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65A694BA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22317E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6345C0" w:rsidRPr="0022317E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D5778A" w:rsidRPr="0022317E">
        <w:rPr>
          <w:rFonts w:ascii="Arial" w:hAnsi="Arial" w:cs="Arial"/>
          <w:b/>
          <w:bCs/>
          <w:color w:val="auto"/>
          <w:sz w:val="24"/>
          <w:szCs w:val="24"/>
        </w:rPr>
        <w:t>b</w:t>
      </w:r>
      <w:r w:rsidR="00CC5756" w:rsidRPr="0022317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35671" w:rsidRPr="0022317E">
        <w:rPr>
          <w:rFonts w:ascii="Arial" w:hAnsi="Arial" w:cs="Arial"/>
          <w:b/>
          <w:bCs/>
          <w:color w:val="auto"/>
          <w:sz w:val="24"/>
          <w:szCs w:val="24"/>
        </w:rPr>
        <w:t>do S</w:t>
      </w:r>
      <w:r w:rsidR="003D582E" w:rsidRPr="0022317E">
        <w:rPr>
          <w:rFonts w:ascii="Arial" w:hAnsi="Arial" w:cs="Arial"/>
          <w:b/>
          <w:bCs/>
          <w:color w:val="auto"/>
          <w:sz w:val="24"/>
          <w:szCs w:val="24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205079BD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C85454" w:rsidRPr="00C85454">
        <w:rPr>
          <w:rFonts w:ascii="Arial" w:hAnsi="Arial" w:cs="Arial"/>
          <w:color w:val="auto"/>
        </w:rPr>
        <w:t>t.j</w:t>
      </w:r>
      <w:proofErr w:type="spellEnd"/>
      <w:r w:rsidR="00C85454" w:rsidRPr="00C85454">
        <w:rPr>
          <w:rFonts w:ascii="Arial" w:hAnsi="Arial" w:cs="Arial"/>
          <w:color w:val="auto"/>
        </w:rPr>
        <w:t xml:space="preserve">. Dz. U. z 2022 r. poz. 1710 z </w:t>
      </w:r>
      <w:proofErr w:type="spellStart"/>
      <w:r w:rsidR="00C85454" w:rsidRPr="00C85454">
        <w:rPr>
          <w:rFonts w:ascii="Arial" w:hAnsi="Arial" w:cs="Arial"/>
          <w:color w:val="auto"/>
        </w:rPr>
        <w:t>późn</w:t>
      </w:r>
      <w:proofErr w:type="spellEnd"/>
      <w:r w:rsidR="00C85454" w:rsidRPr="00C85454">
        <w:rPr>
          <w:rFonts w:ascii="Arial" w:hAnsi="Arial" w:cs="Arial"/>
          <w:color w:val="auto"/>
        </w:rPr>
        <w:t>. zm.</w:t>
      </w:r>
      <w:r w:rsidR="00A35671" w:rsidRPr="004B5430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4B5430">
        <w:rPr>
          <w:rFonts w:ascii="Arial" w:hAnsi="Arial" w:cs="Arial"/>
          <w:color w:val="auto"/>
        </w:rPr>
        <w:t>p.z.p</w:t>
      </w:r>
      <w:proofErr w:type="spellEnd"/>
      <w:r w:rsidR="00A35671" w:rsidRPr="004B5430">
        <w:rPr>
          <w:rFonts w:ascii="Arial" w:hAnsi="Arial" w:cs="Arial"/>
          <w:color w:val="auto"/>
        </w:rPr>
        <w:t xml:space="preserve">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bookmarkStart w:id="0" w:name="_Hlk125110596"/>
      <w:r w:rsidR="005D27CF" w:rsidRPr="00614A05">
        <w:rPr>
          <w:rFonts w:ascii="Arial" w:hAnsi="Arial" w:cs="Arial"/>
          <w:b/>
        </w:rPr>
        <w:t>Dostawy mające na celu zwiększenie dostępności budynku Starostwa Powiatowego w Mogilnie dla osób niepełnosprawnych w ramach przedsięwzięcia grantowego: Dostępność Powiatu Mogileńskiego</w:t>
      </w:r>
      <w:bookmarkEnd w:id="0"/>
      <w:r w:rsidR="00746A22">
        <w:rPr>
          <w:rFonts w:ascii="Arial" w:hAnsi="Arial" w:cs="Arial"/>
          <w:b/>
          <w:bCs/>
          <w:color w:val="auto"/>
        </w:rPr>
        <w:t>”</w:t>
      </w:r>
      <w:r w:rsidR="005D27CF">
        <w:rPr>
          <w:rFonts w:ascii="Arial" w:hAnsi="Arial" w:cs="Arial"/>
          <w:b/>
          <w:bCs/>
          <w:color w:val="auto"/>
        </w:rPr>
        <w:t xml:space="preserve"> cz. I</w:t>
      </w:r>
      <w:r w:rsidR="0022317E">
        <w:rPr>
          <w:rFonts w:ascii="Arial" w:hAnsi="Arial" w:cs="Arial"/>
          <w:b/>
          <w:bCs/>
          <w:color w:val="auto"/>
        </w:rPr>
        <w:t>I</w:t>
      </w:r>
      <w:r w:rsidR="005D27CF">
        <w:rPr>
          <w:rFonts w:ascii="Arial" w:hAnsi="Arial" w:cs="Arial"/>
          <w:b/>
          <w:bCs/>
          <w:color w:val="auto"/>
        </w:rPr>
        <w:t>: „</w:t>
      </w:r>
      <w:r w:rsidR="00E64CBD" w:rsidRPr="00E64CBD">
        <w:rPr>
          <w:rFonts w:ascii="Arial" w:hAnsi="Arial" w:cs="Arial"/>
          <w:b/>
          <w:bCs/>
          <w:color w:val="auto"/>
        </w:rPr>
        <w:t xml:space="preserve">Dostawa i montaż drzwi automatycznych przy wejściu B do </w:t>
      </w:r>
      <w:r w:rsidR="00E64CBD" w:rsidRPr="00E64CBD">
        <w:rPr>
          <w:rFonts w:ascii="Arial" w:hAnsi="Arial" w:cs="Arial"/>
          <w:b/>
          <w:bCs/>
          <w:color w:val="auto"/>
        </w:rPr>
        <w:lastRenderedPageBreak/>
        <w:t>budynku Starostwa Powiatowego w Mogilnie przy ul. Ogrodowej 10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B624DA" w:rsidRPr="00C651E9">
        <w:rPr>
          <w:rFonts w:ascii="Arial" w:hAnsi="Arial" w:cs="Arial"/>
          <w:color w:val="auto"/>
        </w:rPr>
        <w:t>realizowanego</w:t>
      </w:r>
      <w:r w:rsidR="00B624DA">
        <w:rPr>
          <w:rFonts w:ascii="Arial" w:hAnsi="Arial" w:cs="Arial"/>
          <w:color w:val="auto"/>
        </w:rPr>
        <w:t xml:space="preserve"> m. in.</w:t>
      </w:r>
      <w:r w:rsidR="00B624DA" w:rsidRPr="00C651E9">
        <w:rPr>
          <w:rFonts w:ascii="Arial" w:hAnsi="Arial" w:cs="Arial"/>
          <w:color w:val="auto"/>
        </w:rPr>
        <w:t xml:space="preserve"> </w:t>
      </w:r>
      <w:r w:rsidR="00B624DA">
        <w:rPr>
          <w:rFonts w:ascii="Arial" w:hAnsi="Arial" w:cs="Arial"/>
          <w:bCs/>
        </w:rPr>
        <w:t>w </w:t>
      </w:r>
      <w:r w:rsidR="00B624DA" w:rsidRPr="00C651E9">
        <w:rPr>
          <w:rFonts w:ascii="Arial" w:hAnsi="Arial" w:cs="Arial"/>
          <w:bCs/>
        </w:rPr>
        <w:t>ramach przedsięwzięcia grantowego: Dostępność Powiatu Mogileńskiego</w:t>
      </w:r>
      <w:r w:rsidR="00B624DA" w:rsidRPr="00C651E9">
        <w:rPr>
          <w:rFonts w:ascii="Arial" w:hAnsi="Arial" w:cs="Arial"/>
          <w:b/>
          <w:bCs/>
          <w:color w:val="auto"/>
        </w:rPr>
        <w:t xml:space="preserve">, </w:t>
      </w:r>
      <w:r w:rsidR="00B624DA" w:rsidRPr="00C651E9">
        <w:rPr>
          <w:rFonts w:ascii="Arial" w:hAnsi="Arial" w:cs="Arial"/>
          <w:color w:val="auto"/>
        </w:rPr>
        <w:t>zgodnie z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>zawartą Umową nr DSG/0904 o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 xml:space="preserve">powierzenie grantu w ramach projektu „Dostępny samorząd </w:t>
      </w:r>
      <w:r w:rsidR="00B624DA">
        <w:rPr>
          <w:rFonts w:ascii="Arial" w:hAnsi="Arial" w:cs="Arial"/>
          <w:color w:val="auto"/>
        </w:rPr>
        <w:t>–</w:t>
      </w:r>
      <w:r w:rsidR="00B624DA" w:rsidRPr="00C651E9">
        <w:rPr>
          <w:rFonts w:ascii="Arial" w:hAnsi="Arial" w:cs="Arial"/>
          <w:color w:val="auto"/>
        </w:rPr>
        <w:t xml:space="preserve"> granty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7AD06FBE" w:rsidR="005B4207" w:rsidRPr="005D27CF" w:rsidRDefault="005B4207" w:rsidP="005D27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Przedmiotem umowy jest</w:t>
      </w:r>
      <w:r w:rsidR="005D27CF">
        <w:rPr>
          <w:rFonts w:ascii="Arial" w:hAnsi="Arial" w:cs="Arial"/>
          <w:color w:val="auto"/>
        </w:rPr>
        <w:t xml:space="preserve"> d</w:t>
      </w:r>
      <w:r w:rsidR="005D27CF" w:rsidRPr="005D27CF">
        <w:rPr>
          <w:rFonts w:ascii="Arial" w:hAnsi="Arial" w:cs="Arial"/>
          <w:color w:val="auto"/>
        </w:rPr>
        <w:t>ostawa i montaż drzwi wewnętrznych w biurach Starostwa Powiatowego w Mogilnie przy ul. Ogrodowej 10 oraz drzwi zewnętrznych przy wejściu A do budynku</w:t>
      </w:r>
      <w:r w:rsidR="005D27CF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5B4207">
      <w:pPr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1007ECA" w14:textId="6BD996FE" w:rsidR="008430A4" w:rsidRPr="008430A4" w:rsidRDefault="00B161C8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dostawa i montaż</w:t>
      </w:r>
      <w:r w:rsidR="003C27FF">
        <w:rPr>
          <w:rFonts w:ascii="Arial" w:hAnsi="Arial" w:cs="Arial"/>
          <w:color w:val="auto"/>
        </w:rPr>
        <w:t xml:space="preserve"> d</w:t>
      </w:r>
      <w:r w:rsidR="003C27FF" w:rsidRPr="003C27FF">
        <w:rPr>
          <w:rFonts w:ascii="Arial" w:hAnsi="Arial" w:cs="Arial"/>
          <w:color w:val="auto"/>
        </w:rPr>
        <w:t>rzwi automatycznych przy wejściu B do budynku</w:t>
      </w:r>
      <w:r w:rsidR="008430A4" w:rsidRPr="008430A4">
        <w:rPr>
          <w:rFonts w:ascii="Arial" w:hAnsi="Arial" w:cs="Arial"/>
          <w:color w:val="auto"/>
        </w:rPr>
        <w:t>,</w:t>
      </w:r>
    </w:p>
    <w:p w14:paraId="22DA5A96" w14:textId="6E6DA413" w:rsidR="002847D3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</w:t>
      </w:r>
      <w:r w:rsidRPr="00BC3FF7">
        <w:rPr>
          <w:rFonts w:ascii="Arial" w:hAnsi="Arial" w:cs="Arial"/>
          <w:color w:val="auto"/>
        </w:rPr>
        <w:t xml:space="preserve">akres montażu drzwi obejmuje również demontaż istniejących </w:t>
      </w:r>
      <w:r w:rsidR="003C27FF">
        <w:rPr>
          <w:rFonts w:ascii="Arial" w:hAnsi="Arial" w:cs="Arial"/>
          <w:color w:val="auto"/>
        </w:rPr>
        <w:t>w miejscu prac</w:t>
      </w:r>
      <w:r w:rsidRPr="00BC3FF7">
        <w:rPr>
          <w:rFonts w:ascii="Arial" w:hAnsi="Arial" w:cs="Arial"/>
          <w:color w:val="auto"/>
        </w:rPr>
        <w:t xml:space="preserve"> drzwi</w:t>
      </w:r>
      <w:r w:rsidR="003C27FF">
        <w:rPr>
          <w:rFonts w:ascii="Arial" w:hAnsi="Arial" w:cs="Arial"/>
          <w:color w:val="auto"/>
        </w:rPr>
        <w:t xml:space="preserve"> </w:t>
      </w:r>
      <w:r w:rsidR="008169BC">
        <w:rPr>
          <w:rFonts w:ascii="Arial" w:hAnsi="Arial" w:cs="Arial"/>
          <w:color w:val="auto"/>
        </w:rPr>
        <w:t>z utylizacją,</w:t>
      </w:r>
    </w:p>
    <w:p w14:paraId="5D76E15E" w14:textId="3A370B3A" w:rsidR="002847D3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ykonawca jest zobowiązany do dokonywania wymiany drzwi w godzinach pracy </w:t>
      </w:r>
      <w:r>
        <w:rPr>
          <w:rFonts w:ascii="Arial" w:hAnsi="Arial" w:cs="Arial"/>
          <w:color w:val="auto"/>
        </w:rPr>
        <w:t>Starostwa Powiatowego w Mogilnie</w:t>
      </w:r>
      <w:r w:rsidR="002847D3">
        <w:rPr>
          <w:rFonts w:ascii="Arial" w:hAnsi="Arial" w:cs="Arial"/>
          <w:color w:val="auto"/>
        </w:rPr>
        <w:t>,</w:t>
      </w:r>
    </w:p>
    <w:p w14:paraId="77E0D2CA" w14:textId="64C51B00" w:rsidR="002D46CE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w</w:t>
      </w:r>
      <w:r w:rsidRPr="00BC3FF7">
        <w:rPr>
          <w:rFonts w:ascii="Arial" w:hAnsi="Arial" w:cs="Arial"/>
          <w:color w:val="auto"/>
        </w:rPr>
        <w:t>ykonawca zobowiązany jest</w:t>
      </w:r>
      <w:r w:rsidR="008F2A25">
        <w:rPr>
          <w:rFonts w:ascii="Arial" w:hAnsi="Arial" w:cs="Arial"/>
          <w:color w:val="auto"/>
        </w:rPr>
        <w:t xml:space="preserve"> do</w:t>
      </w:r>
      <w:r w:rsidRPr="00BC3FF7">
        <w:rPr>
          <w:rFonts w:ascii="Arial" w:hAnsi="Arial" w:cs="Arial"/>
          <w:color w:val="auto"/>
        </w:rPr>
        <w:t xml:space="preserve"> zabezpiecz</w:t>
      </w:r>
      <w:r w:rsidR="008F2A25">
        <w:rPr>
          <w:rFonts w:ascii="Arial" w:hAnsi="Arial" w:cs="Arial"/>
          <w:color w:val="auto"/>
        </w:rPr>
        <w:t>enia</w:t>
      </w:r>
      <w:r w:rsidRPr="00BC3FF7">
        <w:rPr>
          <w:rFonts w:ascii="Arial" w:hAnsi="Arial" w:cs="Arial"/>
          <w:color w:val="auto"/>
        </w:rPr>
        <w:t xml:space="preserve"> </w:t>
      </w:r>
      <w:r w:rsidR="008F2A25">
        <w:rPr>
          <w:rFonts w:ascii="Arial" w:hAnsi="Arial" w:cs="Arial"/>
          <w:color w:val="auto"/>
        </w:rPr>
        <w:t>miejsca</w:t>
      </w:r>
      <w:r w:rsidRPr="00BC3FF7">
        <w:rPr>
          <w:rFonts w:ascii="Arial" w:hAnsi="Arial" w:cs="Arial"/>
          <w:color w:val="auto"/>
        </w:rPr>
        <w:t xml:space="preserve"> prac przed uszkodzeniami</w:t>
      </w:r>
      <w:r w:rsidR="008F2A25">
        <w:rPr>
          <w:rFonts w:ascii="Arial" w:hAnsi="Arial" w:cs="Arial"/>
          <w:color w:val="auto"/>
        </w:rPr>
        <w:t xml:space="preserve"> i uprzątnięciu go po zakończeniu prac montażowych</w:t>
      </w:r>
      <w:r>
        <w:rPr>
          <w:rFonts w:ascii="Arial" w:hAnsi="Arial" w:cs="Arial"/>
          <w:color w:val="auto"/>
        </w:rPr>
        <w:t>,</w:t>
      </w:r>
    </w:p>
    <w:p w14:paraId="79E32713" w14:textId="41D317C9" w:rsidR="00BC3FF7" w:rsidRDefault="00BC3FF7" w:rsidP="00BC3FF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7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 przypadku zniszczenia lub uszkodzenia w trakcie realizacji umowy z winy Wykonawcy już wykonanego przedmiotu umowy lub jego części lub innych znajdujących się na terenie prac elementów budynku urzędu lub jego wyposażenia, do obowiązków Wykonawcy należy naprawianie ich i</w:t>
      </w:r>
      <w:r>
        <w:rPr>
          <w:rFonts w:ascii="Arial" w:hAnsi="Arial" w:cs="Arial"/>
          <w:color w:val="auto"/>
        </w:rPr>
        <w:t> </w:t>
      </w:r>
      <w:r w:rsidRPr="00BC3FF7">
        <w:rPr>
          <w:rFonts w:ascii="Arial" w:hAnsi="Arial" w:cs="Arial"/>
          <w:color w:val="auto"/>
        </w:rPr>
        <w:t>doprowadzanie do stanu poprzedniego na własny koszt</w:t>
      </w:r>
      <w:r>
        <w:rPr>
          <w:rFonts w:ascii="Arial" w:hAnsi="Arial" w:cs="Arial"/>
          <w:color w:val="auto"/>
        </w:rPr>
        <w:t>,</w:t>
      </w:r>
    </w:p>
    <w:p w14:paraId="5A4458E1" w14:textId="3A64C114" w:rsidR="00BC3FF7" w:rsidRPr="005B7767" w:rsidRDefault="005B7767" w:rsidP="005B776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Wykonawca oświadcza, że drzwi jak i materiały użyte na wykonanie </w:t>
      </w:r>
      <w:r w:rsidR="00E64CBD">
        <w:rPr>
          <w:rFonts w:ascii="Arial" w:hAnsi="Arial" w:cs="Arial"/>
          <w:color w:val="auto"/>
        </w:rPr>
        <w:t>montażu</w:t>
      </w:r>
      <w:r w:rsidRPr="005B7767">
        <w:rPr>
          <w:rFonts w:ascii="Arial" w:hAnsi="Arial" w:cs="Arial"/>
          <w:color w:val="auto"/>
        </w:rPr>
        <w:t xml:space="preserve"> są nowe i</w:t>
      </w:r>
      <w:r>
        <w:rPr>
          <w:rFonts w:ascii="Arial" w:hAnsi="Arial" w:cs="Arial"/>
          <w:color w:val="auto"/>
        </w:rPr>
        <w:t xml:space="preserve"> </w:t>
      </w:r>
      <w:r w:rsidRPr="005B7767">
        <w:rPr>
          <w:rFonts w:ascii="Arial" w:hAnsi="Arial" w:cs="Arial"/>
          <w:color w:val="auto"/>
        </w:rPr>
        <w:t>nieużywane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4E124F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1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03E19523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5B7767">
        <w:rPr>
          <w:rFonts w:ascii="Arial" w:hAnsi="Arial" w:cs="Arial"/>
          <w:szCs w:val="24"/>
        </w:rPr>
        <w:t>3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5B7767">
        <w:rPr>
          <w:rFonts w:ascii="Arial" w:hAnsi="Arial" w:cs="Arial"/>
          <w:szCs w:val="24"/>
        </w:rPr>
        <w:t>ą</w:t>
      </w:r>
      <w:r w:rsidR="00E36BF9" w:rsidRPr="00332BE4">
        <w:rPr>
          <w:rFonts w:ascii="Arial" w:hAnsi="Arial" w:cs="Arial"/>
          <w:szCs w:val="24"/>
        </w:rPr>
        <w:t>c</w:t>
      </w:r>
      <w:r w:rsidR="005B7767">
        <w:rPr>
          <w:rFonts w:ascii="Arial" w:hAnsi="Arial" w:cs="Arial"/>
          <w:szCs w:val="24"/>
        </w:rPr>
        <w:t>e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2" w:name="_Hlk109116333"/>
      <w:r w:rsidR="00271D78">
        <w:rPr>
          <w:rFonts w:ascii="Arial" w:hAnsi="Arial" w:cs="Arial"/>
          <w:szCs w:val="24"/>
        </w:rPr>
        <w:t>.</w:t>
      </w:r>
    </w:p>
    <w:bookmarkEnd w:id="2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lastRenderedPageBreak/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7777777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Wartość o której mowa w ust. 1, obejmuje wszystkie koszty związane z realizacją robót, w tym ryzyko Wykonawcy z tytułu oszacowania wszelkich kosztów związanych z realizacją przedmiotu umowy, a także oddziaływania innych czynników mających lub mogących mieć wpływ na koszty.</w:t>
      </w:r>
    </w:p>
    <w:p w14:paraId="7DB8974C" w14:textId="6E568DBD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Rozliczenie za wykonany przedmiot umowy odbywać się będzie na podstawie faktury końcowej po wykonaniu przedmiotu zamówienia. </w:t>
      </w:r>
    </w:p>
    <w:p w14:paraId="634433EE" w14:textId="14D950A6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02F027FF" w:rsidR="00332290" w:rsidRPr="0031432A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Termin płatności faktury wyniesie 30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odbioru przedmiotu umowy.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Wykonawca oświadcza, że jest zarejestrowanym, czynnym podatnikiem VAT. Jednocześnie Wykonawca zobowiązuje się, że w przypadku wykreślenia go z rejestru </w:t>
      </w:r>
      <w:r w:rsidRPr="005465DF">
        <w:rPr>
          <w:rFonts w:ascii="Arial" w:hAnsi="Arial" w:cs="Arial"/>
          <w:bCs/>
          <w:color w:val="auto"/>
        </w:rPr>
        <w:lastRenderedPageBreak/>
        <w:t>podatników VAT czynnych, niezwłocznie zawiadomi o tym Zamawiającego i z tytułu 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lastRenderedPageBreak/>
        <w:t>Wykonawca zapłaci Zamawiającemu karę umowną:</w:t>
      </w:r>
    </w:p>
    <w:p w14:paraId="69CB5247" w14:textId="383AA3B0" w:rsidR="001E35EA" w:rsidRPr="00C651E9" w:rsidRDefault="001E35EA" w:rsidP="001E35EA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5F8100CB" w:rsidR="00990CF5" w:rsidRPr="00F822F4" w:rsidRDefault="003D582E" w:rsidP="00F822F4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lastRenderedPageBreak/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1D9B1AC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 w:rsidR="002A2A82"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7F2C1367" w14:textId="4D479EF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przerwał realizację </w:t>
      </w:r>
      <w:r w:rsidR="002A2A82">
        <w:rPr>
          <w:rFonts w:ascii="Arial" w:hAnsi="Arial" w:cs="Arial"/>
          <w:color w:val="auto"/>
        </w:rPr>
        <w:t>dostaw</w:t>
      </w:r>
      <w:r w:rsidR="00E526B7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72551F02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>2</w:t>
      </w:r>
      <w:r w:rsidR="0001043E"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5, 6, 7,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="00F82393" w:rsidRPr="008E19B2">
        <w:rPr>
          <w:rFonts w:ascii="Arial" w:hAnsi="Arial" w:cs="Arial"/>
          <w:color w:val="auto"/>
        </w:rPr>
        <w:t>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0AFB6434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 w:rsidR="00070C7A">
        <w:rPr>
          <w:rFonts w:ascii="Arial" w:hAnsi="Arial" w:cs="Arial"/>
          <w:color w:val="auto"/>
        </w:rPr>
        <w:t>8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</w:t>
      </w:r>
      <w:r w:rsidR="0001043E">
        <w:rPr>
          <w:rFonts w:ascii="Arial" w:hAnsi="Arial" w:cs="Arial"/>
          <w:color w:val="auto"/>
        </w:rPr>
        <w:t xml:space="preserve"> i</w:t>
      </w:r>
      <w:r w:rsidRPr="008E19B2">
        <w:rPr>
          <w:rFonts w:ascii="Arial" w:hAnsi="Arial" w:cs="Arial"/>
          <w:color w:val="auto"/>
        </w:rPr>
        <w:t xml:space="preserve"> 6</w:t>
      </w:r>
      <w:r w:rsidR="0001043E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BB554B6" w14:textId="059FC72D" w:rsidR="009F7E81" w:rsidRPr="00070C7A" w:rsidRDefault="00571593" w:rsidP="00070C7A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 xml:space="preserve">Dopuszczalne jest </w:t>
      </w:r>
      <w:r w:rsidR="00DB2491" w:rsidRPr="008E19B2">
        <w:rPr>
          <w:rFonts w:ascii="Arial" w:hAnsi="Arial" w:cs="Arial"/>
          <w:color w:val="auto"/>
        </w:rPr>
        <w:t>dokonanie zmian umowy</w:t>
      </w:r>
      <w:r w:rsidR="00F36801" w:rsidRPr="008E19B2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</w:t>
      </w:r>
      <w:r w:rsidR="00070C7A">
        <w:rPr>
          <w:rFonts w:ascii="Arial" w:hAnsi="Arial" w:cs="Arial"/>
          <w:color w:val="auto"/>
        </w:rPr>
        <w:t xml:space="preserve"> </w:t>
      </w:r>
      <w:r w:rsidR="002A2A82"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7320A80" w14:textId="1378A0FB" w:rsidR="0091402D" w:rsidRPr="002A2A82" w:rsidRDefault="00B2668E" w:rsidP="002A2A82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5A5065B0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70C7A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Każda ze Stron zobowiązuje się do powiadomienia drugiej Strony o każdorazowej zmianie swojego adresu. W przypadku braku powiadomienia o zmianie adresu </w:t>
      </w:r>
      <w:r w:rsidRPr="007B24C2">
        <w:rPr>
          <w:rFonts w:ascii="Arial" w:hAnsi="Arial" w:cs="Arial"/>
          <w:color w:val="auto"/>
        </w:rPr>
        <w:lastRenderedPageBreak/>
        <w:t>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2A2A8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7" w:name="_Hlk112365034"/>
    <w:bookmarkStart w:id="8" w:name="_Hlk112365033"/>
    <w:bookmarkStart w:id="9" w:name="_Hlk112363067"/>
    <w:bookmarkStart w:id="10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  <w:bookmarkEnd w:id="8"/>
    <w:bookmarkEnd w:id="9"/>
    <w:bookmarkEnd w:id="10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D942" w14:textId="77777777" w:rsidR="005079C1" w:rsidRPr="00B868F5" w:rsidRDefault="005079C1" w:rsidP="005079C1">
    <w:pPr>
      <w:spacing w:after="120" w:line="264" w:lineRule="auto"/>
      <w:rPr>
        <w:rFonts w:eastAsia="MS Mincho" w:cs="Arial"/>
        <w:sz w:val="20"/>
        <w:szCs w:val="20"/>
      </w:rPr>
    </w:pPr>
    <w:bookmarkStart w:id="3" w:name="_Hlk124319097"/>
    <w:bookmarkStart w:id="4" w:name="_Hlk124319098"/>
    <w:bookmarkStart w:id="5" w:name="_Hlk124319169"/>
    <w:bookmarkStart w:id="6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25CC88A5" wp14:editId="32A2ED18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D35E10" w14:textId="77777777" w:rsidR="005079C1" w:rsidRPr="00B1256A" w:rsidRDefault="005079C1" w:rsidP="005079C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3"/>
    <w:bookmarkEnd w:id="4"/>
    <w:bookmarkEnd w:id="5"/>
    <w:bookmarkEnd w:id="6"/>
  </w:p>
  <w:p w14:paraId="1B4AEB1F" w14:textId="77777777" w:rsidR="00A35671" w:rsidRPr="00C25780" w:rsidRDefault="00A35671" w:rsidP="005079C1">
    <w:pPr>
      <w:pStyle w:val="Tekstpodstawowy"/>
      <w:jc w:val="both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92234"/>
    <w:multiLevelType w:val="hybridMultilevel"/>
    <w:tmpl w:val="A81E00E0"/>
    <w:lvl w:ilvl="0" w:tplc="04090011">
      <w:start w:val="1"/>
      <w:numFmt w:val="decimal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B5787"/>
    <w:multiLevelType w:val="hybridMultilevel"/>
    <w:tmpl w:val="42B2223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72F56"/>
    <w:multiLevelType w:val="hybridMultilevel"/>
    <w:tmpl w:val="46BAE4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7C3E249A"/>
    <w:multiLevelType w:val="hybridMultilevel"/>
    <w:tmpl w:val="5B94A6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0766474">
    <w:abstractNumId w:val="16"/>
  </w:num>
  <w:num w:numId="2" w16cid:durableId="1016267921">
    <w:abstractNumId w:val="29"/>
  </w:num>
  <w:num w:numId="3" w16cid:durableId="194582024">
    <w:abstractNumId w:val="10"/>
  </w:num>
  <w:num w:numId="4" w16cid:durableId="168839228">
    <w:abstractNumId w:val="36"/>
  </w:num>
  <w:num w:numId="5" w16cid:durableId="583422186">
    <w:abstractNumId w:val="30"/>
  </w:num>
  <w:num w:numId="6" w16cid:durableId="663320214">
    <w:abstractNumId w:val="8"/>
  </w:num>
  <w:num w:numId="7" w16cid:durableId="2070348000">
    <w:abstractNumId w:val="31"/>
  </w:num>
  <w:num w:numId="8" w16cid:durableId="1535995119">
    <w:abstractNumId w:val="23"/>
  </w:num>
  <w:num w:numId="9" w16cid:durableId="852375477">
    <w:abstractNumId w:val="48"/>
  </w:num>
  <w:num w:numId="10" w16cid:durableId="1922442582">
    <w:abstractNumId w:val="19"/>
  </w:num>
  <w:num w:numId="11" w16cid:durableId="1205169960">
    <w:abstractNumId w:val="24"/>
  </w:num>
  <w:num w:numId="12" w16cid:durableId="1744792199">
    <w:abstractNumId w:val="21"/>
  </w:num>
  <w:num w:numId="13" w16cid:durableId="765925289">
    <w:abstractNumId w:val="35"/>
  </w:num>
  <w:num w:numId="14" w16cid:durableId="1199008405">
    <w:abstractNumId w:val="20"/>
  </w:num>
  <w:num w:numId="15" w16cid:durableId="74713331">
    <w:abstractNumId w:val="47"/>
  </w:num>
  <w:num w:numId="16" w16cid:durableId="91824971">
    <w:abstractNumId w:val="45"/>
  </w:num>
  <w:num w:numId="17" w16cid:durableId="50471637">
    <w:abstractNumId w:val="25"/>
  </w:num>
  <w:num w:numId="18" w16cid:durableId="1827281561">
    <w:abstractNumId w:val="14"/>
  </w:num>
  <w:num w:numId="19" w16cid:durableId="711223701">
    <w:abstractNumId w:val="46"/>
  </w:num>
  <w:num w:numId="20" w16cid:durableId="320813241">
    <w:abstractNumId w:val="33"/>
  </w:num>
  <w:num w:numId="21" w16cid:durableId="1200823936">
    <w:abstractNumId w:val="26"/>
  </w:num>
  <w:num w:numId="22" w16cid:durableId="224726896">
    <w:abstractNumId w:val="7"/>
  </w:num>
  <w:num w:numId="23" w16cid:durableId="630406045">
    <w:abstractNumId w:val="32"/>
  </w:num>
  <w:num w:numId="24" w16cid:durableId="345716523">
    <w:abstractNumId w:val="18"/>
  </w:num>
  <w:num w:numId="25" w16cid:durableId="1738043631">
    <w:abstractNumId w:val="28"/>
  </w:num>
  <w:num w:numId="26" w16cid:durableId="669872211">
    <w:abstractNumId w:val="43"/>
  </w:num>
  <w:num w:numId="27" w16cid:durableId="935164671">
    <w:abstractNumId w:val="49"/>
  </w:num>
  <w:num w:numId="28" w16cid:durableId="1790389083">
    <w:abstractNumId w:val="39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40"/>
  </w:num>
  <w:num w:numId="33" w16cid:durableId="753354424">
    <w:abstractNumId w:val="17"/>
  </w:num>
  <w:num w:numId="34" w16cid:durableId="266889970">
    <w:abstractNumId w:val="5"/>
  </w:num>
  <w:num w:numId="35" w16cid:durableId="1905068426">
    <w:abstractNumId w:val="22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8"/>
  </w:num>
  <w:num w:numId="41" w16cid:durableId="1341809940">
    <w:abstractNumId w:val="6"/>
  </w:num>
  <w:num w:numId="42" w16cid:durableId="1132475784">
    <w:abstractNumId w:val="44"/>
  </w:num>
  <w:num w:numId="43" w16cid:durableId="1079598530">
    <w:abstractNumId w:val="13"/>
  </w:num>
  <w:num w:numId="44" w16cid:durableId="241641792">
    <w:abstractNumId w:val="27"/>
  </w:num>
  <w:num w:numId="45" w16cid:durableId="1260674319">
    <w:abstractNumId w:val="42"/>
  </w:num>
  <w:num w:numId="46" w16cid:durableId="2068071193">
    <w:abstractNumId w:val="34"/>
  </w:num>
  <w:num w:numId="47" w16cid:durableId="522864673">
    <w:abstractNumId w:val="41"/>
  </w:num>
  <w:num w:numId="48" w16cid:durableId="724717586">
    <w:abstractNumId w:val="50"/>
  </w:num>
  <w:num w:numId="49" w16cid:durableId="1184248293">
    <w:abstractNumId w:val="37"/>
  </w:num>
  <w:num w:numId="50" w16cid:durableId="36641677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043E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0CC1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17E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27FF"/>
    <w:rsid w:val="003C5197"/>
    <w:rsid w:val="003C7882"/>
    <w:rsid w:val="003D245B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A22"/>
    <w:rsid w:val="00746E79"/>
    <w:rsid w:val="00747607"/>
    <w:rsid w:val="00753454"/>
    <w:rsid w:val="00775948"/>
    <w:rsid w:val="00781851"/>
    <w:rsid w:val="00791946"/>
    <w:rsid w:val="00792DC9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5778A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E5FF8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4CBD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4</cp:revision>
  <cp:lastPrinted>2022-07-21T09:15:00Z</cp:lastPrinted>
  <dcterms:created xsi:type="dcterms:W3CDTF">2023-01-27T11:19:00Z</dcterms:created>
  <dcterms:modified xsi:type="dcterms:W3CDTF">2023-01-30T08:46:00Z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