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42CA732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6345C0" w:rsidRPr="0022317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B60496">
        <w:rPr>
          <w:rFonts w:ascii="Arial" w:hAnsi="Arial" w:cs="Arial"/>
          <w:b/>
          <w:bCs/>
          <w:color w:val="auto"/>
          <w:sz w:val="24"/>
          <w:szCs w:val="24"/>
        </w:rPr>
        <w:t>c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35671" w:rsidRPr="0022317E">
        <w:rPr>
          <w:rFonts w:ascii="Arial" w:hAnsi="Arial" w:cs="Arial"/>
          <w:b/>
          <w:bCs/>
          <w:color w:val="auto"/>
          <w:sz w:val="24"/>
          <w:szCs w:val="24"/>
        </w:rPr>
        <w:t>do S</w:t>
      </w:r>
      <w:r w:rsidR="003D582E" w:rsidRPr="0022317E">
        <w:rPr>
          <w:rFonts w:ascii="Arial" w:hAnsi="Arial" w:cs="Arial"/>
          <w:b/>
          <w:bCs/>
          <w:color w:val="auto"/>
          <w:sz w:val="24"/>
          <w:szCs w:val="24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4E6B307A" w14:textId="1CFC1AE4" w:rsidR="00E36BF9" w:rsidRPr="00B60496" w:rsidRDefault="003D582E" w:rsidP="00B60496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25110596"/>
      <w:r w:rsidR="005D27CF" w:rsidRPr="00614A05">
        <w:rPr>
          <w:rFonts w:ascii="Arial" w:hAnsi="Arial" w:cs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bookmarkEnd w:id="0"/>
      <w:r w:rsidR="00774787">
        <w:rPr>
          <w:rFonts w:ascii="Arial" w:hAnsi="Arial" w:cs="Arial"/>
          <w:b/>
        </w:rPr>
        <w:t xml:space="preserve"> II</w:t>
      </w:r>
      <w:r w:rsidR="00746A22">
        <w:rPr>
          <w:rFonts w:ascii="Arial" w:hAnsi="Arial" w:cs="Arial"/>
          <w:b/>
          <w:bCs/>
          <w:color w:val="auto"/>
        </w:rPr>
        <w:t>”</w:t>
      </w:r>
      <w:r w:rsidR="005D27CF">
        <w:rPr>
          <w:rFonts w:ascii="Arial" w:hAnsi="Arial" w:cs="Arial"/>
          <w:b/>
          <w:bCs/>
          <w:color w:val="auto"/>
        </w:rPr>
        <w:t xml:space="preserve"> cz. I</w:t>
      </w:r>
      <w:r w:rsidR="00B60496">
        <w:rPr>
          <w:rFonts w:ascii="Arial" w:hAnsi="Arial" w:cs="Arial"/>
          <w:b/>
          <w:bCs/>
          <w:color w:val="auto"/>
        </w:rPr>
        <w:t>II</w:t>
      </w:r>
      <w:r w:rsidR="005D27CF">
        <w:rPr>
          <w:rFonts w:ascii="Arial" w:hAnsi="Arial" w:cs="Arial"/>
          <w:b/>
          <w:bCs/>
          <w:color w:val="auto"/>
        </w:rPr>
        <w:t>: „</w:t>
      </w:r>
      <w:r w:rsidR="00E64CBD" w:rsidRPr="00E64CBD">
        <w:rPr>
          <w:rFonts w:ascii="Arial" w:hAnsi="Arial" w:cs="Arial"/>
          <w:b/>
          <w:bCs/>
          <w:color w:val="auto"/>
        </w:rPr>
        <w:t xml:space="preserve">Dostawa </w:t>
      </w:r>
      <w:r w:rsidR="00B60496">
        <w:rPr>
          <w:rFonts w:ascii="Arial" w:hAnsi="Arial" w:cs="Arial"/>
          <w:b/>
          <w:bCs/>
          <w:color w:val="auto"/>
        </w:rPr>
        <w:t>mebli do poczekalni w</w:t>
      </w:r>
      <w:r w:rsidR="00E64CBD" w:rsidRPr="00E64CBD">
        <w:rPr>
          <w:rFonts w:ascii="Arial" w:hAnsi="Arial" w:cs="Arial"/>
          <w:b/>
          <w:bCs/>
          <w:color w:val="auto"/>
        </w:rPr>
        <w:t xml:space="preserve"> budynku Starostwa </w:t>
      </w:r>
      <w:r w:rsidR="00E64CBD" w:rsidRPr="00E64CBD">
        <w:rPr>
          <w:rFonts w:ascii="Arial" w:hAnsi="Arial" w:cs="Arial"/>
          <w:b/>
          <w:bCs/>
          <w:color w:val="auto"/>
        </w:rPr>
        <w:lastRenderedPageBreak/>
        <w:t>Powiatowego w Mogilnie przy ul. Ogrodowej 10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 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>zgodnie 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  <w:r w:rsidR="00B60496">
        <w:rPr>
          <w:rFonts w:ascii="Arial" w:hAnsi="Arial" w:cs="Arial"/>
          <w:b/>
          <w:bCs/>
          <w:color w:val="auto"/>
        </w:rPr>
        <w:t xml:space="preserve"> </w:t>
      </w:r>
      <w:r w:rsidR="00167825" w:rsidRPr="004B5430">
        <w:rPr>
          <w:rFonts w:ascii="Arial" w:hAnsi="Arial" w:cs="Arial"/>
          <w:bCs/>
          <w:color w:val="auto"/>
        </w:rPr>
        <w:t>s</w:t>
      </w:r>
      <w:r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0BF4C7CA" w:rsidR="005B4207" w:rsidRPr="005D27CF" w:rsidRDefault="005B4207" w:rsidP="005D27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 xml:space="preserve">ostawa </w:t>
      </w:r>
      <w:r w:rsidR="00B60496">
        <w:rPr>
          <w:rFonts w:ascii="Arial" w:hAnsi="Arial" w:cs="Arial"/>
          <w:color w:val="auto"/>
        </w:rPr>
        <w:t>mebli do poczekalni w</w:t>
      </w:r>
      <w:r w:rsidR="00774787">
        <w:rPr>
          <w:rFonts w:ascii="Arial" w:hAnsi="Arial" w:cs="Arial"/>
          <w:color w:val="auto"/>
        </w:rPr>
        <w:t xml:space="preserve"> budynku</w:t>
      </w:r>
      <w:r w:rsidR="005D27CF" w:rsidRPr="005D27CF">
        <w:rPr>
          <w:rFonts w:ascii="Arial" w:hAnsi="Arial" w:cs="Arial"/>
          <w:color w:val="auto"/>
        </w:rPr>
        <w:t xml:space="preserve"> Starostwa Powiatowego w Mogilnie przy ul. Ogrodowej 10</w:t>
      </w:r>
      <w:r w:rsidR="00774787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79E32713" w14:textId="29C3933E" w:rsidR="00BC3FF7" w:rsidRDefault="00B161C8" w:rsidP="008D238B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B60496">
        <w:rPr>
          <w:rFonts w:ascii="Arial" w:hAnsi="Arial" w:cs="Arial"/>
          <w:color w:val="auto"/>
        </w:rPr>
        <w:t xml:space="preserve">mebli </w:t>
      </w:r>
      <w:r w:rsidR="0044602F">
        <w:rPr>
          <w:rFonts w:ascii="Arial" w:hAnsi="Arial" w:cs="Arial"/>
          <w:color w:val="auto"/>
        </w:rPr>
        <w:t>do</w:t>
      </w:r>
      <w:r w:rsidR="00B60496">
        <w:rPr>
          <w:rFonts w:ascii="Arial" w:hAnsi="Arial" w:cs="Arial"/>
          <w:color w:val="auto"/>
        </w:rPr>
        <w:t xml:space="preserve"> poczekalni w</w:t>
      </w:r>
      <w:r w:rsidR="0044602F">
        <w:rPr>
          <w:rFonts w:ascii="Arial" w:hAnsi="Arial" w:cs="Arial"/>
          <w:color w:val="auto"/>
        </w:rPr>
        <w:t xml:space="preserve"> budynku Starostwa Powiatowego w Mogilnie przy ul. Ogrodowej 10</w:t>
      </w:r>
      <w:r w:rsidR="00B60496">
        <w:rPr>
          <w:rFonts w:ascii="Arial" w:hAnsi="Arial" w:cs="Arial"/>
          <w:color w:val="auto"/>
        </w:rPr>
        <w:t xml:space="preserve"> zgodnie z Załącznikiem nr 7 do SWZ</w:t>
      </w:r>
      <w:r w:rsidR="008D238B">
        <w:rPr>
          <w:rFonts w:ascii="Arial" w:hAnsi="Arial" w:cs="Arial"/>
          <w:color w:val="auto"/>
        </w:rPr>
        <w:t>.</w:t>
      </w:r>
    </w:p>
    <w:p w14:paraId="134BE639" w14:textId="2EC8A9D3" w:rsidR="008D238B" w:rsidRPr="008D238B" w:rsidRDefault="008D238B" w:rsidP="008D238B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obejmuje montaż mebli wraz z wniesieniem</w:t>
      </w:r>
    </w:p>
    <w:p w14:paraId="5A4458E1" w14:textId="08791FBF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Wykonawca oświadcza, że </w:t>
      </w:r>
      <w:r w:rsidR="00B60496">
        <w:rPr>
          <w:rFonts w:ascii="Arial" w:hAnsi="Arial" w:cs="Arial"/>
          <w:color w:val="auto"/>
        </w:rPr>
        <w:t>meble</w:t>
      </w:r>
      <w:r w:rsidRPr="005B7767">
        <w:rPr>
          <w:rFonts w:ascii="Arial" w:hAnsi="Arial" w:cs="Arial"/>
          <w:color w:val="auto"/>
        </w:rPr>
        <w:t xml:space="preserve"> są</w:t>
      </w:r>
      <w:r w:rsidR="008D238B">
        <w:rPr>
          <w:rFonts w:ascii="Arial" w:hAnsi="Arial" w:cs="Arial"/>
          <w:color w:val="auto"/>
        </w:rPr>
        <w:t xml:space="preserve"> fabrycznie</w:t>
      </w:r>
      <w:r w:rsidRPr="005B7767">
        <w:rPr>
          <w:rFonts w:ascii="Arial" w:hAnsi="Arial" w:cs="Arial"/>
          <w:color w:val="auto"/>
        </w:rPr>
        <w:t xml:space="preserve">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  <w:r w:rsidR="008D238B"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Zlecenie części przedmiotu umowy podwykonawcy nie zmieni zobowiązań </w:t>
      </w:r>
      <w:r w:rsidRPr="00A00418">
        <w:rPr>
          <w:rFonts w:ascii="Arial" w:hAnsi="Arial" w:cs="Arial"/>
          <w:color w:val="auto"/>
        </w:rPr>
        <w:lastRenderedPageBreak/>
        <w:t>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0849E067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8D238B">
        <w:rPr>
          <w:rFonts w:ascii="Arial" w:hAnsi="Arial" w:cs="Arial"/>
          <w:szCs w:val="24"/>
        </w:rPr>
        <w:t>2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5B7767">
        <w:rPr>
          <w:rFonts w:ascii="Arial" w:hAnsi="Arial" w:cs="Arial"/>
          <w:szCs w:val="24"/>
        </w:rPr>
        <w:t>ą</w:t>
      </w:r>
      <w:r w:rsidR="00E36BF9" w:rsidRPr="00332BE4">
        <w:rPr>
          <w:rFonts w:ascii="Arial" w:hAnsi="Arial" w:cs="Arial"/>
          <w:szCs w:val="24"/>
        </w:rPr>
        <w:t>c</w:t>
      </w:r>
      <w:r w:rsidR="005B7767">
        <w:rPr>
          <w:rFonts w:ascii="Arial" w:hAnsi="Arial" w:cs="Arial"/>
          <w:szCs w:val="24"/>
        </w:rPr>
        <w:t>e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14:paraId="7DB8974C" w14:textId="4D5387E8" w:rsidR="005B7767" w:rsidRPr="00212D2F" w:rsidRDefault="005B7767" w:rsidP="00212D2F">
      <w:pPr>
        <w:pStyle w:val="Akapitzlist"/>
        <w:numPr>
          <w:ilvl w:val="0"/>
          <w:numId w:val="7"/>
        </w:numPr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212D2F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</w:t>
      </w:r>
      <w:r w:rsidR="00212D2F" w:rsidRPr="00212D2F">
        <w:rPr>
          <w:rFonts w:ascii="Arial" w:hAnsi="Arial" w:cs="Arial"/>
          <w:color w:val="auto"/>
        </w:rPr>
        <w:t>Na fakturze Wykonawca zobowiązany jest wyszczególnić i wycenić częściowo przedmiot dostaw zgodnie z</w:t>
      </w:r>
      <w:r w:rsidR="00212D2F">
        <w:rPr>
          <w:rFonts w:ascii="Arial" w:hAnsi="Arial" w:cs="Arial"/>
          <w:color w:val="auto"/>
        </w:rPr>
        <w:t> </w:t>
      </w:r>
      <w:r w:rsidR="00212D2F" w:rsidRPr="00212D2F">
        <w:rPr>
          <w:rFonts w:ascii="Arial" w:hAnsi="Arial" w:cs="Arial"/>
          <w:color w:val="auto"/>
        </w:rPr>
        <w:t>formularzem cenowym tj.</w:t>
      </w:r>
      <w:r w:rsidR="00212D2F">
        <w:rPr>
          <w:rFonts w:ascii="Arial" w:hAnsi="Arial" w:cs="Arial"/>
          <w:color w:val="auto"/>
        </w:rPr>
        <w:t xml:space="preserve"> na fakturze powinno się znaleźć sześć pozycji</w:t>
      </w:r>
      <w:r w:rsidR="00212D2F" w:rsidRPr="00212D2F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5A83E2A9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Termin płatności faktury wyniesie </w:t>
      </w:r>
      <w:r w:rsidR="008D238B">
        <w:rPr>
          <w:rFonts w:ascii="Arial" w:hAnsi="Arial" w:cs="Arial"/>
          <w:bCs/>
          <w:color w:val="auto"/>
        </w:rPr>
        <w:t>14</w:t>
      </w:r>
      <w:r w:rsidRPr="00C651E9">
        <w:rPr>
          <w:rFonts w:ascii="Arial" w:hAnsi="Arial" w:cs="Arial"/>
          <w:bCs/>
          <w:color w:val="auto"/>
        </w:rPr>
        <w:t xml:space="preserve">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przedmiotu umowy.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</w:t>
      </w:r>
      <w:r w:rsidRPr="005465DF">
        <w:rPr>
          <w:rFonts w:ascii="Arial" w:hAnsi="Arial" w:cs="Arial"/>
          <w:bCs/>
          <w:color w:val="auto"/>
        </w:rPr>
        <w:lastRenderedPageBreak/>
        <w:t>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lastRenderedPageBreak/>
        <w:t xml:space="preserve">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stanie wywiązać się ze swoich zobowiązań z powodu działania siły wyższej zobowiązana jest </w:t>
      </w:r>
      <w:r w:rsidRPr="00D52BD4">
        <w:rPr>
          <w:rFonts w:ascii="Arial" w:hAnsi="Arial" w:cs="Arial"/>
          <w:color w:val="auto"/>
        </w:rPr>
        <w:lastRenderedPageBreak/>
        <w:t>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1D9B1AC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 w:rsidR="002A2A82"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7F2C1367" w14:textId="4D479EF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2A2A82">
        <w:rPr>
          <w:rFonts w:ascii="Arial" w:hAnsi="Arial" w:cs="Arial"/>
          <w:color w:val="auto"/>
        </w:rPr>
        <w:t>dostaw</w:t>
      </w:r>
      <w:r w:rsidR="00E526B7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72551F02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>2</w:t>
      </w:r>
      <w:r w:rsidR="0001043E"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="00F82393" w:rsidRPr="008E19B2">
        <w:rPr>
          <w:rFonts w:ascii="Arial" w:hAnsi="Arial" w:cs="Arial"/>
          <w:color w:val="auto"/>
        </w:rPr>
        <w:t>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0AFB6434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070C7A">
        <w:rPr>
          <w:rFonts w:ascii="Arial" w:hAnsi="Arial" w:cs="Arial"/>
          <w:color w:val="auto"/>
        </w:rPr>
        <w:t>8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</w:t>
      </w:r>
      <w:r w:rsidR="0001043E"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 w:rsidR="0001043E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059FC72D" w:rsidR="009F7E81" w:rsidRPr="00070C7A" w:rsidRDefault="00571593" w:rsidP="00070C7A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</w:t>
      </w:r>
      <w:r w:rsidR="00070C7A">
        <w:rPr>
          <w:rFonts w:ascii="Arial" w:hAnsi="Arial" w:cs="Arial"/>
          <w:color w:val="auto"/>
        </w:rPr>
        <w:t xml:space="preserve"> </w:t>
      </w:r>
      <w:r w:rsidR="002A2A82"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1378A0FB" w:rsidR="0091402D" w:rsidRPr="002A2A82" w:rsidRDefault="00B2668E" w:rsidP="002A2A82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7" w:name="_Hlk112365034"/>
    <w:bookmarkStart w:id="8" w:name="_Hlk112365033"/>
    <w:bookmarkStart w:id="9" w:name="_Hlk112363067"/>
    <w:bookmarkStart w:id="10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3" w:name="_Hlk124319097"/>
    <w:bookmarkStart w:id="4" w:name="_Hlk124319098"/>
    <w:bookmarkStart w:id="5" w:name="_Hlk124319169"/>
    <w:bookmarkStart w:id="6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3"/>
    <w:bookmarkEnd w:id="4"/>
    <w:bookmarkEnd w:id="5"/>
    <w:bookmarkEnd w:id="6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058CF"/>
    <w:rsid w:val="0001043E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0CC1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2D2F"/>
    <w:rsid w:val="0021337D"/>
    <w:rsid w:val="00213DF9"/>
    <w:rsid w:val="0022317E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27FF"/>
    <w:rsid w:val="003C5197"/>
    <w:rsid w:val="003C7882"/>
    <w:rsid w:val="003D245B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4602F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4787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238B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0496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5778A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E5FF8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4CBD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8</cp:revision>
  <cp:lastPrinted>2022-07-21T09:15:00Z</cp:lastPrinted>
  <dcterms:created xsi:type="dcterms:W3CDTF">2023-01-27T11:19:00Z</dcterms:created>
  <dcterms:modified xsi:type="dcterms:W3CDTF">2023-06-13T13:11:00Z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